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cs="Open Sans" w:ascii="Tahoma" w:hAnsi="Tahoma"/>
          <w:b/>
          <w:bCs/>
          <w:iCs/>
          <w:color w:val="00000A"/>
          <w:spacing w:val="-8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Hlk1740145001"/>
      <w:r>
        <w:rPr>
          <w:rFonts w:cs="Calibri" w:ascii="Tahoma" w:hAnsi="Tahoma"/>
          <w:b/>
          <w:bCs/>
          <w:iCs/>
          <w:color w:val="00000A"/>
          <w:spacing w:val="-8"/>
          <w:sz w:val="22"/>
          <w:szCs w:val="22"/>
        </w:rPr>
        <w:t>INCARICO PROFESSIONALE BIENNIO 2025/2026 -</w:t>
      </w:r>
      <w:bookmarkEnd w:id="1"/>
      <w:r>
        <w:rPr>
          <w:rFonts w:cs="Open Sans" w:ascii="Tahoma" w:hAnsi="Tahoma"/>
          <w:b/>
          <w:bCs/>
          <w:iCs/>
          <w:color w:val="00000A"/>
          <w:spacing w:val="-8"/>
          <w:sz w:val="22"/>
          <w:szCs w:val="22"/>
        </w:rPr>
        <w:t xml:space="preserve"> DETERMINAZIONE DELLA CONSISTENZA E DEL VALORE DEGLI IMPIANTI DI ILLUMINAZIONE PUBBLICA (DI SEGUITO IP) DI PRESUNTA PROPRIETÀ DELLA SOCIETÀ ENEL SOLE SUL TERRITORIO DEL COMUNE DI INDUNO OLONA, COMPRESA ASSISTENZA TECNICO/AMMINISTRATIVA PER ACQUISIZIONE E SUCCESSIVA MANUTENZIONE ORDINARIA DEGLI IMPIANTI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550"/>
        <w:gridCol w:w="2549"/>
        <w:gridCol w:w="1717"/>
        <w:gridCol w:w="2498"/>
      </w:tblGrid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983"/>
        <w:gridCol w:w="2976"/>
        <w:gridCol w:w="1843"/>
        <w:gridCol w:w="2302"/>
      </w:tblGrid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